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afterLines="50" w:line="504" w:lineRule="exact"/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企业经营设施、设备情况表</w:t>
      </w:r>
    </w:p>
    <w:tbl>
      <w:tblPr>
        <w:tblStyle w:val="2"/>
        <w:tblW w:w="7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7"/>
        <w:gridCol w:w="1088"/>
        <w:gridCol w:w="149"/>
        <w:gridCol w:w="410"/>
        <w:gridCol w:w="149"/>
        <w:gridCol w:w="642"/>
        <w:gridCol w:w="107"/>
        <w:gridCol w:w="448"/>
        <w:gridCol w:w="330"/>
        <w:gridCol w:w="126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营业场所及辅助办公用房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营业用房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辅助用房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办公用房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药品储存用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仓库</w:t>
            </w:r>
          </w:p>
        </w:tc>
        <w:tc>
          <w:tcPr>
            <w:tcW w:w="4583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仓库面积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仓库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总面积</w:t>
            </w:r>
          </w:p>
        </w:tc>
        <w:tc>
          <w:tcPr>
            <w:tcW w:w="5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阴凉库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常温库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特殊管理药 品专库面积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5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验收养护室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仪器、设备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06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中药饮片分装室面积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配送中心配 货场所面积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运输用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车辆和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设备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运输用车辆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符合药品特性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要求的设备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657" w:type="dxa"/>
            <w:gridSpan w:val="3"/>
            <w:vMerge w:val="restart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657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657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运输用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车辆和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设备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运输用车辆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符合药品特性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要求的设备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43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92EEC"/>
    <w:rsid w:val="52A433E9"/>
    <w:rsid w:val="5AB92EEC"/>
    <w:rsid w:val="704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2020-03-09T08:59:00Z</dcterms:created>
  <dc:creator>云梦曦</dc:creator>
  <cp:lastModifiedBy>云梦曦</cp:lastModifiedBy>
  <dcterms:modified xsi:type="dcterms:W3CDTF">2021-09-17T09:07:14Z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